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Waarderingsfragment Technoflex Holding B.V.</w:t>
      </w:r>
    </w:p>
    <w:p>
      <w:r>
        <w:rPr>
          <w:b/>
        </w:rPr>
        <w:t>SAMENGESTELD, FICTIEF EN GEANONIMISEERD. Fictief oefendossier voor de Sprint-kickoff; namen, cijfers en situaties zijn verzonnen en niets is herleidbaar. Werk in je echte werk nooit met een herleidbaar dossier in Copilot.</w:t>
      </w:r>
    </w:p>
    <w:p>
      <w:r>
        <w:t>Indicatieve waardering van Technoflex Holding B.V. op basis van een gedisconteerde kasstroom (DCF) en een vergelijking met marktmultiples. Dit fragment dient als onderbouwing bij het informatie memorandum en als vertrekpunt voor de onderhandeling. De uitkomst is een bandbreedte, geen puntwaarde.</w:t>
      </w:r>
    </w:p>
    <w:p>
      <w:pPr>
        <w:pStyle w:val="Heading2"/>
      </w:pPr>
      <w:r>
        <w:t>Methodiek</w:t>
      </w:r>
    </w:p>
    <w:p>
      <w:r>
        <w:t>De waardering steunt op twee benaderingen die elkaar controleren:</w:t>
      </w:r>
    </w:p>
    <w:p>
      <w:pPr>
        <w:pStyle w:val="ListBullet"/>
      </w:pPr>
      <w:r>
        <w:rPr>
          <w:b/>
        </w:rPr>
        <w:t>DCF (intrinsieke waarde).</w:t>
      </w:r>
      <w:r>
        <w:t xml:space="preserve"> Contant maken van de vrije kasstromen over een expliciete prognoseperiode van vijf jaar plus een eindwaarde, tegen de gewogen gemiddelde vermogenskostenvoet.</w:t>
      </w:r>
    </w:p>
    <w:p>
      <w:pPr>
        <w:pStyle w:val="ListBullet"/>
      </w:pPr>
      <w:r>
        <w:rPr>
          <w:b/>
        </w:rPr>
        <w:t>Multiples (marktreferentie).</w:t>
      </w:r>
      <w:r>
        <w:t xml:space="preserve"> De genormaliseerde EBITDA vermenigvuldigd met een EV/EBITDA-multiple die aansluit bij transacties in de nichemarkt voor industriële afdichtingscomponenten.</w:t>
      </w:r>
    </w:p>
    <w:p>
      <w:pPr>
        <w:pStyle w:val="Heading2"/>
      </w:pPr>
      <w:r>
        <w:t>DCF-aannames</w:t>
      </w:r>
    </w:p>
    <w:p>
      <w:pPr>
        <w:pStyle w:val="ListBullet"/>
      </w:pPr>
      <w:r>
        <w:rPr>
          <w:b/>
        </w:rPr>
        <w:t>WACC: 11,5 procent.</w:t>
      </w:r>
      <w:r>
        <w:t xml:space="preserve"> Opgebouwd uit de risicovrije voet, een marktrisicopremie, een small-firm premium en een specifieke opslag voor de klantconcentratie en de afhankelijkheid van de DGA.</w:t>
      </w:r>
    </w:p>
    <w:p>
      <w:pPr>
        <w:pStyle w:val="ListBullet"/>
      </w:pPr>
      <w:r>
        <w:rPr>
          <w:b/>
        </w:rPr>
        <w:t>Terminal growth: 1,5 procent.</w:t>
      </w:r>
      <w:r>
        <w:t xml:space="preserve"> In lijn met de verwachte langetermijninflatie; er is geen structurele marktgroei in de eindwaarde verondersteld.</w:t>
      </w:r>
    </w:p>
    <w:p>
      <w:pPr>
        <w:pStyle w:val="ListBullet"/>
      </w:pPr>
      <w:r>
        <w:rPr>
          <w:b/>
        </w:rPr>
        <w:t>Genormaliseerde EBITDA (basis): 2,4 miljoen euro.</w:t>
      </w:r>
      <w:r>
        <w:t xml:space="preserve"> Na correctie voor de bovenmatige managementvergoeding en incidentele posten.</w:t>
      </w:r>
    </w:p>
    <w:p>
      <w:pPr>
        <w:pStyle w:val="ListBullet"/>
      </w:pPr>
      <w:r>
        <w:t>De vervangingsinvestering in het machinepark is als capex in de vrije kasstroom verwerkt, niet als eenmalige normalisatiepost.</w:t>
      </w:r>
    </w:p>
    <w:p>
      <w:r>
        <w:t>De DCF komt in het base-scenario uit op een ondernemingswaarde (enterprise value) van ongeveer 12,5 miljoen euro. Dat ligt in lijn met de multiples-benadering en ondersteunt de bandbreedte hieronder.</w:t>
      </w:r>
    </w:p>
    <w:p>
      <w:pPr>
        <w:pStyle w:val="Heading2"/>
      </w:pPr>
      <w:r>
        <w:t>Multiples-vergelijking</w:t>
      </w:r>
    </w:p>
    <w:p>
      <w:r>
        <w:t xml:space="preserve">Voor de nichemarkt voor industriële afdichtingscomponenten hanteren wij een EV/EBITDA-bandbreedte van </w:t>
      </w:r>
      <w:r>
        <w:rPr>
          <w:b/>
        </w:rPr>
        <w:t>4,5x tot 6,0x</w:t>
      </w:r>
      <w:r>
        <w:t>. Kleinere, maatwerkgedreven producenten met klantconcentratie noteren aan de onderkant; partijen met meerjarige contracten en een breed klantenbestand aan de bovenkant.</w:t>
      </w:r>
    </w:p>
    <w:p>
      <w:pPr>
        <w:pStyle w:val="Heading2"/>
      </w:pPr>
      <w:r>
        <w:t>Scenario's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b/>
              </w:rPr>
              <w:t>Scenario</w:t>
            </w:r>
          </w:p>
        </w:tc>
        <w:tc>
          <w:tcPr>
            <w:tcW w:type="dxa" w:w="1728"/>
          </w:tcPr>
          <w:p>
            <w:r>
              <w:rPr>
                <w:b/>
              </w:rPr>
              <w:t>EV/EBITDA-multiple</w:t>
            </w:r>
          </w:p>
        </w:tc>
        <w:tc>
          <w:tcPr>
            <w:tcW w:type="dxa" w:w="1728"/>
          </w:tcPr>
          <w:p>
            <w:r>
              <w:rPr>
                <w:b/>
              </w:rPr>
              <w:t>Genormaliseerde EBITDA</w:t>
            </w:r>
          </w:p>
        </w:tc>
        <w:tc>
          <w:tcPr>
            <w:tcW w:type="dxa" w:w="1728"/>
          </w:tcPr>
          <w:p>
            <w:r>
              <w:rPr>
                <w:b/>
              </w:rPr>
              <w:t>Indicatieve EV</w:t>
            </w:r>
          </w:p>
        </w:tc>
        <w:tc>
          <w:tcPr>
            <w:tcW w:type="dxa" w:w="1728"/>
          </w:tcPr>
          <w:p>
            <w:r>
              <w:rPr>
                <w:b/>
              </w:rPr>
              <w:t>Kernaanname</w:t>
            </w:r>
          </w:p>
        </w:tc>
      </w:tr>
      <w:tr>
        <w:tc>
          <w:tcPr>
            <w:tcW w:type="dxa" w:w="1728"/>
          </w:tcPr>
          <w:p>
            <w:r>
              <w:t>Downside</w:t>
            </w:r>
          </w:p>
        </w:tc>
        <w:tc>
          <w:tcPr>
            <w:tcW w:type="dxa" w:w="1728"/>
          </w:tcPr>
          <w:p>
            <w:r>
              <w:t>4,0x</w:t>
            </w:r>
          </w:p>
        </w:tc>
        <w:tc>
          <w:tcPr>
            <w:tcW w:type="dxa" w:w="1728"/>
          </w:tcPr>
          <w:p>
            <w:r>
              <w:t>2,25 miljoen euro</w:t>
            </w:r>
          </w:p>
        </w:tc>
        <w:tc>
          <w:tcPr>
            <w:tcW w:type="dxa" w:w="1728"/>
          </w:tcPr>
          <w:p>
            <w:r>
              <w:t>circa 9,0 miljoen euro</w:t>
            </w:r>
          </w:p>
        </w:tc>
        <w:tc>
          <w:tcPr>
            <w:tcW w:type="dxa" w:w="1728"/>
          </w:tcPr>
          <w:p>
            <w:r>
              <w:t>Verlies van een top-3 klant, marge terug naar circa 11 procent, investering loopt uit in tijd en kosten</w:t>
            </w:r>
          </w:p>
        </w:tc>
      </w:tr>
      <w:tr>
        <w:tc>
          <w:tcPr>
            <w:tcW w:type="dxa" w:w="1728"/>
          </w:tcPr>
          <w:p>
            <w:r>
              <w:t>Base</w:t>
            </w:r>
          </w:p>
        </w:tc>
        <w:tc>
          <w:tcPr>
            <w:tcW w:type="dxa" w:w="1728"/>
          </w:tcPr>
          <w:p>
            <w:r>
              <w:t>5,0x</w:t>
            </w:r>
          </w:p>
        </w:tc>
        <w:tc>
          <w:tcPr>
            <w:tcW w:type="dxa" w:w="1728"/>
          </w:tcPr>
          <w:p>
            <w:r>
              <w:t>2,4 miljoen euro</w:t>
            </w:r>
          </w:p>
        </w:tc>
        <w:tc>
          <w:tcPr>
            <w:tcW w:type="dxa" w:w="1728"/>
          </w:tcPr>
          <w:p>
            <w:r>
              <w:t>circa 12,0 miljoen euro</w:t>
            </w:r>
          </w:p>
        </w:tc>
        <w:tc>
          <w:tcPr>
            <w:tcW w:type="dxa" w:w="1728"/>
          </w:tcPr>
          <w:p>
            <w:r>
              <w:t>Omzetgroei 3 tot 4 procent per jaar, marge stabiel op circa 13 procent, investering conform plan</w:t>
            </w:r>
          </w:p>
        </w:tc>
      </w:tr>
      <w:tr>
        <w:tc>
          <w:tcPr>
            <w:tcW w:type="dxa" w:w="1728"/>
          </w:tcPr>
          <w:p>
            <w:r>
              <w:t>Upside</w:t>
            </w:r>
          </w:p>
        </w:tc>
        <w:tc>
          <w:tcPr>
            <w:tcW w:type="dxa" w:w="1728"/>
          </w:tcPr>
          <w:p>
            <w:r>
              <w:t>6,0x</w:t>
            </w:r>
          </w:p>
        </w:tc>
        <w:tc>
          <w:tcPr>
            <w:tcW w:type="dxa" w:w="1728"/>
          </w:tcPr>
          <w:p>
            <w:r>
              <w:t>2,5 miljoen euro</w:t>
            </w:r>
          </w:p>
        </w:tc>
        <w:tc>
          <w:tcPr>
            <w:tcW w:type="dxa" w:w="1728"/>
          </w:tcPr>
          <w:p>
            <w:r>
              <w:t>circa 15,0 miljoen euro</w:t>
            </w:r>
          </w:p>
        </w:tc>
        <w:tc>
          <w:tcPr>
            <w:tcW w:type="dxa" w:w="1728"/>
          </w:tcPr>
          <w:p>
            <w:r>
              <w:t>Meerjarig contract met een top-3 klant, groeiend exportaandeel, marge naar circa 14 procent</w:t>
            </w:r>
          </w:p>
        </w:tc>
      </w:tr>
    </w:tbl>
    <w:p>
      <w:r>
        <w:rPr>
          <w:b/>
        </w:rPr>
        <w:t>Bandbreedte.</w:t>
      </w:r>
      <w:r>
        <w:t xml:space="preserve"> De DCF en de multiples samen leiden tot een indicatieve ondernemingswaarde van ongeveer </w:t>
      </w:r>
      <w:r>
        <w:rPr>
          <w:b/>
        </w:rPr>
        <w:t>9 tot 15 miljoen euro</w:t>
      </w:r>
      <w:r>
        <w:t>, met het base-scenario rond de 12 miljoen euro. Van enterprise value naar de waarde van de aandelen (equity value) wordt gebrugd met de nettoschuld en een correctie voor het normatief werkkapitaal op de leveringsdatum.</w:t>
      </w:r>
    </w:p>
    <w:p>
      <w:pPr>
        <w:pStyle w:val="Heading2"/>
      </w:pPr>
      <w:r>
        <w:t>Aannames</w:t>
      </w:r>
    </w:p>
    <w:p>
      <w:pPr>
        <w:pStyle w:val="ListNumber"/>
      </w:pPr>
      <w:r>
        <w:rPr>
          <w:b/>
        </w:rPr>
        <w:t>Genormaliseerde EBITDA</w:t>
      </w:r>
      <w:r>
        <w:t xml:space="preserve"> van 2,4 miljoen euro over boekjaar 2025, gecorrigeerd voor de bovenmatige managementvergoeding aan de DGA en voor incidentele baten en lasten. Nog te onderbouwen met de gecontroleerde jaarrekeningen.</w:t>
      </w:r>
    </w:p>
    <w:p>
      <w:pPr>
        <w:pStyle w:val="ListNumber"/>
      </w:pPr>
      <w:r>
        <w:rPr>
          <w:b/>
        </w:rPr>
        <w:t>WACC van 11,5 procent</w:t>
      </w:r>
      <w:r>
        <w:t>, inclusief een opslag voor de omvang van de onderneming en voor de concentratie- en sleutelpersoonrisico's.</w:t>
      </w:r>
    </w:p>
    <w:p>
      <w:pPr>
        <w:pStyle w:val="ListNumber"/>
      </w:pPr>
      <w:r>
        <w:rPr>
          <w:b/>
        </w:rPr>
        <w:t>Terminal growth van 1,5 procent</w:t>
      </w:r>
      <w:r>
        <w:t>; geen structurele marktgroei in de eindwaarde verondersteld.</w:t>
      </w:r>
    </w:p>
    <w:p>
      <w:pPr>
        <w:pStyle w:val="ListNumber"/>
      </w:pPr>
      <w:r>
        <w:rPr>
          <w:b/>
        </w:rPr>
        <w:t>Klantconcentratie:</w:t>
      </w:r>
      <w:r>
        <w:t xml:space="preserve"> de top-3 klanten zijn samen goed voor ongeveer 45 procent van de omzet. Het wegvallen van een van deze klanten is als aparte gevoeligheid in het downside-scenario meegenomen en zit niet in de base.</w:t>
      </w:r>
    </w:p>
    <w:p>
      <w:pPr>
        <w:pStyle w:val="ListNumber"/>
      </w:pPr>
      <w:r>
        <w:rPr>
          <w:b/>
        </w:rPr>
        <w:t>Machinepark-investering:</w:t>
      </w:r>
      <w:r>
        <w:t xml:space="preserve"> een vervangingsinvestering van ongeveer 1,5 miljoen euro over de komende 18 maanden is in de vrije kasstroom verwerkt. Wie deze investering draagt (verkoper vooraf of koper na overname) beïnvloedt de prijs en is onderwerp van onderhandeling.</w:t>
      </w:r>
    </w:p>
    <w:p>
      <w:pPr>
        <w:pStyle w:val="ListNumber"/>
      </w:pPr>
      <w:r>
        <w:rPr>
          <w:b/>
        </w:rPr>
        <w:t>Nettoschuld en werkkapitaal</w:t>
      </w:r>
      <w:r>
        <w:t xml:space="preserve"> per de leveringsdatum zijn als voorlopige aanname (PM) opgenomen; de brug van enterprise value naar equity value wordt bij het definitieve bod op basis van actuele cijfers vastgesteld.</w:t>
      </w:r>
    </w:p>
    <w:p>
      <w:r>
        <w:t>De waardering is geen accountantsoordeel. Verifieer alle cijfers tegen de brondata en de jaarrekeningen voordat je ze in een bod of een memorandum overneemt.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