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Informatie Memorandum Technoflex Holding B.V. (outline, romp)</w:t>
      </w:r>
    </w:p>
    <w:p>
      <w:r>
        <w:rPr>
          <w:b/>
        </w:rPr>
        <w:t>SAMENGESTELD, FICTIEF EN GEANONIMISEERD. Fictief oefendossier voor de Sprint-kickoff; namen, cijfers en situaties zijn verzonnen en niets is herleidbaar. Werk in je echte werk nooit met een herleidbaar dossier in Copilot.</w:t>
      </w:r>
    </w:p>
    <w:p>
      <w:r>
        <w:t>Aanzet voor het informatie memorandum ten behoeve van de verkoop van Technoflex Holding B.V. De marktmodule en de financiële module zijn deels ingevuld; de overige modules staan als kop met de aanduiding [nog aanvullen]. Vertrouwelijk, uitsluitend voor gekwalificeerde koperskandidaten na ondertekening van een geheimhoudingsverklaring.</w:t>
      </w:r>
    </w:p>
    <w:p>
      <w:pPr>
        <w:pStyle w:val="Heading2"/>
      </w:pPr>
      <w:r>
        <w:t>1. Samenvatting</w:t>
      </w:r>
    </w:p>
    <w:p>
      <w:r>
        <w:t>[nog aanvullen] Kernboodschap, transactierationale en de belangrijkste financiële kengetallen op één pagina. Opstellen als laatste, nadat de overige modules staan.</w:t>
      </w:r>
    </w:p>
    <w:p>
      <w:pPr>
        <w:pStyle w:val="Heading2"/>
      </w:pPr>
      <w:r>
        <w:t>2. De onderneming</w:t>
      </w:r>
    </w:p>
    <w:p>
      <w:r>
        <w:t>[nog aanvullen] Profiel, historie, juridische structuur (holding en werkmaatschappij), vestiging in de regio Zuid-Nederland, aandeelhouderschap.</w:t>
      </w:r>
    </w:p>
    <w:p>
      <w:pPr>
        <w:pStyle w:val="Heading2"/>
      </w:pPr>
      <w:r>
        <w:t>3. Producten en dienstverlening</w:t>
      </w:r>
    </w:p>
    <w:p>
      <w:r>
        <w:t>[nog aanvullen] Productgroepen binnen de industriële afdichtingscomponenten, toepassingen per afnemersegment, kwaliteitscertificering en productieproces.</w:t>
      </w:r>
    </w:p>
    <w:p>
      <w:pPr>
        <w:pStyle w:val="Heading2"/>
      </w:pPr>
      <w:r>
        <w:t>4. Markt en concurrentie</w:t>
      </w:r>
    </w:p>
    <w:p>
      <w:r>
        <w:rPr>
          <w:b/>
        </w:rPr>
        <w:t>Marktpositie.</w:t>
      </w:r>
      <w:r>
        <w:t xml:space="preserve"> Technoflex is een nichespeler in industriële afdichtingscomponenten: technische afdichtingen en aanverwante precisiecomponenten voor machinebouw, procesindustrie en onderhoudsmarkt. De markt is gefragmenteerd, met een beperkt aantal gespecialiseerde producenten en een lange staart van kleinere partijen. Technoflex onderscheidt zich op maatwerk, korte levertijden en engineering-ondersteuning bij niet-standaard toepassingen.</w:t>
      </w:r>
    </w:p>
    <w:p>
      <w:r>
        <w:rPr>
          <w:b/>
        </w:rPr>
        <w:t>Exportaandeel.</w:t>
      </w:r>
      <w:r>
        <w:t xml:space="preserve"> Ongeveer een derde van de omzet komt uit export, met Duitsland en Scandinavië als grootste afzetgebieden. Het exportaandeel groeit sneller dan de binnenlandse omzet, gedreven door de vraag naar maatwerkcomponenten bij Duitse machinebouwers.</w:t>
      </w:r>
    </w:p>
    <w:p>
      <w:r>
        <w:rPr>
          <w:b/>
        </w:rPr>
        <w:t>Marktdrivers.</w:t>
      </w:r>
    </w:p>
    <w:p>
      <w:pPr>
        <w:pStyle w:val="ListBullet"/>
      </w:pPr>
      <w:r>
        <w:rPr>
          <w:b/>
        </w:rPr>
        <w:t>Vervangingsvraag</w:t>
      </w:r>
      <w:r>
        <w:t xml:space="preserve"> in de installed base: afdichtingscomponenten zijn slijtdelen met een terugkerende onderhouds- en vervangingsvraag, wat een stabiele basisomzet geeft.</w:t>
      </w:r>
    </w:p>
    <w:p>
      <w:pPr>
        <w:pStyle w:val="ListBullet"/>
      </w:pPr>
      <w:r>
        <w:rPr>
          <w:b/>
        </w:rPr>
        <w:t>Reshoring en leveringszekerheid</w:t>
      </w:r>
      <w:r>
        <w:t>: afnemers spreiden hun toeleveringsketen en waarderen een producent in de regio met korte levertijden.</w:t>
      </w:r>
    </w:p>
    <w:p>
      <w:pPr>
        <w:pStyle w:val="ListBullet"/>
      </w:pPr>
      <w:r>
        <w:rPr>
          <w:b/>
        </w:rPr>
        <w:t>Technische eisen</w:t>
      </w:r>
      <w:r>
        <w:t xml:space="preserve"> worden strenger (temperatuur, druk, chemische bestendigheid), wat maatwerk en engineering-ondersteuning belangrijker maakt en prijsdruk op standaardproducten deels compenseert.</w:t>
      </w:r>
    </w:p>
    <w:p>
      <w:pPr>
        <w:pStyle w:val="ListBullet"/>
      </w:pPr>
      <w:r>
        <w:rPr>
          <w:b/>
        </w:rPr>
        <w:t>Concentratierisico aan de vraagzijde</w:t>
      </w:r>
      <w:r>
        <w:t>: de top-3 klanten zijn samen goed voor ongeveer 45 procent van de omzet. Dit is zowel een sterkte (diepe relaties) als een risico (afhankelijkheid); zie de financiële module en het waarderingsfragment.</w:t>
      </w:r>
    </w:p>
    <w:p>
      <w:r>
        <w:rPr>
          <w:b/>
        </w:rPr>
        <w:t>Concurrentie.</w:t>
      </w:r>
      <w:r>
        <w:t xml:space="preserve"> [deels aanvullen] Een handvol gespecialiseerde binnenlandse en Duitse producenten in het maatwerksegment, plus grotere internationale partijen in het standaardsegment. Technoflex concurreert niet op prijs in het standaardsegment, maar op maatwerk, snelheid en betrouwbaarheid.</w:t>
      </w:r>
    </w:p>
    <w:p>
      <w:pPr>
        <w:pStyle w:val="Heading2"/>
      </w:pPr>
      <w:r>
        <w:t>5. Organisatie en personeel</w:t>
      </w:r>
    </w:p>
    <w:p>
      <w:r>
        <w:t>[nog aanvullen] Organisatiestructuur, ongeveer 85 fte, sleutelfuncties in productie en commercie, aandachtspunt vergrijzing in de werkplaats en de afhankelijkheid van de huidige DGA. Uitwerken op basis van de personeelslijst.</w:t>
      </w:r>
    </w:p>
    <w:p>
      <w:pPr>
        <w:pStyle w:val="Heading2"/>
      </w:pPr>
      <w:r>
        <w:t>6. Financiële informatie</w:t>
      </w:r>
    </w:p>
    <w:p>
      <w:r>
        <w:rPr>
          <w:b/>
        </w:rPr>
        <w:t>Omzet- en resultaatontwikkeling.</w:t>
      </w:r>
      <w:r>
        <w:t xml:space="preserve"> De onderneming laat over de afgelopen drie boekjaren een gestage groei zien in omzet en in EBITDA-marge. De cijfers hieronder zijn indicatief en nog te onderbouwen met de gecontroleerde jaarrekeningen en de normalisaties.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Boekjaar</w:t>
            </w:r>
          </w:p>
        </w:tc>
        <w:tc>
          <w:tcPr>
            <w:tcW w:type="dxa" w:w="2160"/>
          </w:tcPr>
          <w:p>
            <w:r>
              <w:rPr>
                <w:b/>
              </w:rPr>
              <w:t>Omzet</w:t>
            </w:r>
          </w:p>
        </w:tc>
        <w:tc>
          <w:tcPr>
            <w:tcW w:type="dxa" w:w="2160"/>
          </w:tcPr>
          <w:p>
            <w:r>
              <w:rPr>
                <w:b/>
              </w:rPr>
              <w:t>EBITDA</w:t>
            </w:r>
          </w:p>
        </w:tc>
        <w:tc>
          <w:tcPr>
            <w:tcW w:type="dxa" w:w="2160"/>
          </w:tcPr>
          <w:p>
            <w:r>
              <w:rPr>
                <w:b/>
              </w:rPr>
              <w:t>EBITDA-marge</w:t>
            </w:r>
          </w:p>
        </w:tc>
      </w:tr>
      <w:tr>
        <w:tc>
          <w:tcPr>
            <w:tcW w:type="dxa" w:w="2160"/>
          </w:tcPr>
          <w:p>
            <w:r>
              <w:t>2023</w:t>
            </w:r>
          </w:p>
        </w:tc>
        <w:tc>
          <w:tcPr>
            <w:tcW w:type="dxa" w:w="2160"/>
          </w:tcPr>
          <w:p>
            <w:r>
              <w:t>15,6 miljoen euro</w:t>
            </w:r>
          </w:p>
        </w:tc>
        <w:tc>
          <w:tcPr>
            <w:tcW w:type="dxa" w:w="2160"/>
          </w:tcPr>
          <w:p>
            <w:r>
              <w:t>1,9 miljoen euro</w:t>
            </w:r>
          </w:p>
        </w:tc>
        <w:tc>
          <w:tcPr>
            <w:tcW w:type="dxa" w:w="2160"/>
          </w:tcPr>
          <w:p>
            <w:r>
              <w:t>12,2%</w:t>
            </w:r>
          </w:p>
        </w:tc>
      </w:tr>
      <w:tr>
        <w:tc>
          <w:tcPr>
            <w:tcW w:type="dxa" w:w="2160"/>
          </w:tcPr>
          <w:p>
            <w:r>
              <w:t>2024</w:t>
            </w:r>
          </w:p>
        </w:tc>
        <w:tc>
          <w:tcPr>
            <w:tcW w:type="dxa" w:w="2160"/>
          </w:tcPr>
          <w:p>
            <w:r>
              <w:t>16,8 miljoen euro</w:t>
            </w:r>
          </w:p>
        </w:tc>
        <w:tc>
          <w:tcPr>
            <w:tcW w:type="dxa" w:w="2160"/>
          </w:tcPr>
          <w:p>
            <w:r>
              <w:t>2,1 miljoen euro</w:t>
            </w:r>
          </w:p>
        </w:tc>
        <w:tc>
          <w:tcPr>
            <w:tcW w:type="dxa" w:w="2160"/>
          </w:tcPr>
          <w:p>
            <w:r>
              <w:t>12,5%</w:t>
            </w:r>
          </w:p>
        </w:tc>
      </w:tr>
      <w:tr>
        <w:tc>
          <w:tcPr>
            <w:tcW w:type="dxa" w:w="2160"/>
          </w:tcPr>
          <w:p>
            <w:r>
              <w:t>2025</w:t>
            </w:r>
          </w:p>
        </w:tc>
        <w:tc>
          <w:tcPr>
            <w:tcW w:type="dxa" w:w="2160"/>
          </w:tcPr>
          <w:p>
            <w:r>
              <w:t>18,0 miljoen euro</w:t>
            </w:r>
          </w:p>
        </w:tc>
        <w:tc>
          <w:tcPr>
            <w:tcW w:type="dxa" w:w="2160"/>
          </w:tcPr>
          <w:p>
            <w:r>
              <w:t>2,4 miljoen euro</w:t>
            </w:r>
          </w:p>
        </w:tc>
        <w:tc>
          <w:tcPr>
            <w:tcW w:type="dxa" w:w="2160"/>
          </w:tcPr>
          <w:p>
            <w:r>
              <w:t>13,3%</w:t>
            </w:r>
          </w:p>
        </w:tc>
      </w:tr>
    </w:tbl>
    <w:p>
      <w:r>
        <w:rPr>
          <w:b/>
        </w:rPr>
        <w:t>Toelichting.</w:t>
      </w:r>
    </w:p>
    <w:p>
      <w:pPr>
        <w:pStyle w:val="ListBullet"/>
      </w:pPr>
      <w:r>
        <w:t>De omzet groeide over de periode met gemiddeld ongeveer 7 procent per jaar, vooral gedreven door export en door prijsindexering op maatwerkorders.</w:t>
      </w:r>
    </w:p>
    <w:p>
      <w:pPr>
        <w:pStyle w:val="ListBullet"/>
      </w:pPr>
      <w:r>
        <w:t xml:space="preserve">De </w:t>
      </w:r>
      <w:r>
        <w:rPr>
          <w:b/>
        </w:rPr>
        <w:t>EBITDA-marge</w:t>
      </w:r>
      <w:r>
        <w:t xml:space="preserve"> verbeterde van 12,2 procent naar 13,3 procent, door een gunstiger productmix (meer maatwerk) en schaalvoordelen in de productie.</w:t>
      </w:r>
    </w:p>
    <w:p>
      <w:pPr>
        <w:pStyle w:val="ListBullet"/>
      </w:pPr>
      <w:r>
        <w:t>De genoemde EBITDA is nog niet genormaliseerd. Verwachte correcties: een bovenmatige managementvergoeding aan de DGA, de huursituatie van het bedrijfspand en enkele incidentele posten. Zie het waarderingsfragment voor de genormaliseerde EBITDA.</w:t>
      </w:r>
    </w:p>
    <w:p>
      <w:pPr>
        <w:pStyle w:val="ListBullet"/>
      </w:pPr>
      <w:r>
        <w:rPr>
          <w:b/>
        </w:rPr>
        <w:t>Investeringsbehoefte:</w:t>
      </w:r>
      <w:r>
        <w:t xml:space="preserve"> een vervangingsinvestering in het machinepark van ongeveer 1,5 miljoen euro over de komende 18 maanden is voorzien en moet in de kasstroomprognose worden verwerkt.</w:t>
      </w:r>
    </w:p>
    <w:p>
      <w:pPr>
        <w:pStyle w:val="ListBullet"/>
      </w:pPr>
      <w:r>
        <w:t>[nog aanvullen] Balans, werkkapitaalverloop, nettoschuld en een meerjarige prognose (drie jaar vooruit).</w:t>
      </w:r>
    </w:p>
    <w:p>
      <w:pPr>
        <w:pStyle w:val="Heading2"/>
      </w:pPr>
      <w:r>
        <w:t>7. Transactie</w:t>
      </w:r>
    </w:p>
    <w:p>
      <w:r>
        <w:t>[nog aanvullen] Rationale van de verkoop (leeftijd DGA, geen opvolging), gewenste transactiestructuur (aandelentransactie), positie van het bedrijfspand, bereidheid tot een overgangsperiode of earn-out, en het beoogde verkoopproces met meerdere koperskandidaten.</w:t>
      </w:r>
    </w:p>
    <w:p>
      <w:pPr>
        <w:pStyle w:val="Heading2"/>
      </w:pPr>
      <w:r>
        <w:t>8. Bijlagen</w:t>
      </w:r>
    </w:p>
    <w:p>
      <w:r>
        <w:t>[nog aanvullen] Jaarrekeningen laatste drie boekjaren, organigram, productoverzicht, klantoverzicht (geanonimiseerd), overzicht machinepark en investeringsplan.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